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5B1CE" w14:textId="71F56370" w:rsidR="00B93364" w:rsidRPr="006E255F" w:rsidRDefault="006E255F" w:rsidP="00E257B2">
      <w:pPr>
        <w:spacing w:line="360" w:lineRule="auto"/>
        <w:jc w:val="center"/>
        <w:rPr>
          <w:rFonts w:ascii="Arabic Typesetting" w:hAnsi="Arabic Typesetting" w:cs="Arabic Typesetting"/>
          <w:sz w:val="28"/>
          <w:szCs w:val="28"/>
        </w:rPr>
      </w:pPr>
      <w:r w:rsidRPr="006E255F">
        <w:rPr>
          <w:rFonts w:ascii="Arabic Typesetting" w:hAnsi="Arabic Typesetting" w:cs="Arabic Typesetting" w:hint="cs"/>
          <w:sz w:val="28"/>
          <w:szCs w:val="28"/>
        </w:rPr>
        <w:t>The ESG Code: The “Open Sesame” for Dummies</w:t>
      </w:r>
    </w:p>
    <w:p w14:paraId="5F6FD6A6" w14:textId="2A336D24" w:rsidR="006E255F" w:rsidRPr="006E255F" w:rsidRDefault="006E255F" w:rsidP="00E257B2">
      <w:pPr>
        <w:spacing w:line="360" w:lineRule="auto"/>
        <w:jc w:val="center"/>
        <w:rPr>
          <w:rFonts w:ascii="Arabic Typesetting" w:hAnsi="Arabic Typesetting" w:cs="Arabic Typesetting"/>
          <w:sz w:val="28"/>
          <w:szCs w:val="28"/>
        </w:rPr>
      </w:pPr>
      <w:r w:rsidRPr="006E255F">
        <w:rPr>
          <w:rFonts w:ascii="Arabic Typesetting" w:hAnsi="Arabic Typesetting" w:cs="Arabic Typesetting" w:hint="cs"/>
          <w:sz w:val="28"/>
          <w:szCs w:val="28"/>
        </w:rPr>
        <w:t>by Davide Colombo</w:t>
      </w:r>
    </w:p>
    <w:p w14:paraId="4614B239" w14:textId="77777777" w:rsidR="006E255F" w:rsidRPr="006E255F" w:rsidRDefault="006E255F" w:rsidP="00E257B2">
      <w:pPr>
        <w:spacing w:line="360" w:lineRule="auto"/>
        <w:jc w:val="center"/>
        <w:rPr>
          <w:rFonts w:ascii="Arabic Typesetting" w:hAnsi="Arabic Typesetting" w:cs="Arabic Typesetting"/>
          <w:sz w:val="28"/>
          <w:szCs w:val="28"/>
        </w:rPr>
      </w:pPr>
    </w:p>
    <w:p w14:paraId="094D7864" w14:textId="085B86EA" w:rsidR="000F0DC1" w:rsidRPr="000F0DC1" w:rsidRDefault="000F0DC1" w:rsidP="000F0DC1">
      <w:p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Have you ever been intrigued by mysteries? I have been for many years, from the very beginning. I’d like</w:t>
      </w:r>
      <w:r w:rsidR="003868BF">
        <w:rPr>
          <w:rFonts w:ascii="Arabic Typesetting" w:hAnsi="Arabic Typesetting" w:cs="Arabic Typesetting"/>
          <w:sz w:val="28"/>
          <w:szCs w:val="28"/>
        </w:rPr>
        <w:t>d</w:t>
      </w:r>
      <w:r w:rsidRPr="000F0DC1">
        <w:rPr>
          <w:rFonts w:ascii="Arabic Typesetting" w:hAnsi="Arabic Typesetting" w:cs="Arabic Typesetting"/>
          <w:sz w:val="28"/>
          <w:szCs w:val="28"/>
        </w:rPr>
        <w:t xml:space="preserve"> to explore every place; every door </w:t>
      </w:r>
      <w:r w:rsidR="003868BF">
        <w:rPr>
          <w:rFonts w:ascii="Arabic Typesetting" w:hAnsi="Arabic Typesetting" w:cs="Arabic Typesetting"/>
          <w:sz w:val="28"/>
          <w:szCs w:val="28"/>
        </w:rPr>
        <w:t>was</w:t>
      </w:r>
      <w:r w:rsidRPr="000F0DC1">
        <w:rPr>
          <w:rFonts w:ascii="Arabic Typesetting" w:hAnsi="Arabic Typesetting" w:cs="Arabic Typesetting"/>
          <w:sz w:val="28"/>
          <w:szCs w:val="28"/>
        </w:rPr>
        <w:t xml:space="preserve"> an explicit challenge for me. I had to open it and look inside. These are my memories from the time I was not so good with books. Then I started reading, and the world changed. Now the doors were the books’ covers, and the keys were the words. In my juvenile years, I remember an old tale. It makes me smile because it is about a door and a hideout. In this ancient time, there was a desert and some palm trees around a dry and scorched limb of sand and rocks. The night was quiet, and the inhabitants of the desert were about to start their routines. The scarabs were returning to their nest, and the snakes started to hide under the sand to collect some of the heath, just in time for not being caught disarmed by the cold night. The mice start to run like maniacs in search of something to eat, trying to avoid being eaten by foxes and feral cats. There was one inhabitant who was not searching for food or looking for sleep; he was satisfied with </w:t>
      </w:r>
      <w:r w:rsidR="00C7408A">
        <w:rPr>
          <w:rFonts w:ascii="Arabic Typesetting" w:hAnsi="Arabic Typesetting" w:cs="Arabic Typesetting"/>
          <w:sz w:val="28"/>
          <w:szCs w:val="28"/>
        </w:rPr>
        <w:t>laying</w:t>
      </w:r>
      <w:r w:rsidR="003868BF">
        <w:rPr>
          <w:rFonts w:ascii="Arabic Typesetting" w:hAnsi="Arabic Typesetting" w:cs="Arabic Typesetting"/>
          <w:sz w:val="28"/>
          <w:szCs w:val="28"/>
        </w:rPr>
        <w:t xml:space="preserve"> down</w:t>
      </w:r>
      <w:r w:rsidRPr="000F0DC1">
        <w:rPr>
          <w:rFonts w:ascii="Arabic Typesetting" w:hAnsi="Arabic Typesetting" w:cs="Arabic Typesetting"/>
          <w:sz w:val="28"/>
          <w:szCs w:val="28"/>
        </w:rPr>
        <w:t xml:space="preserve"> beside the short bushes. He responded with the name Ali Baba and has been sent by his wife to collect some </w:t>
      </w:r>
      <w:r w:rsidR="00C7408A" w:rsidRPr="000F0DC1">
        <w:rPr>
          <w:rFonts w:ascii="Arabic Typesetting" w:hAnsi="Arabic Typesetting" w:cs="Arabic Typesetting"/>
          <w:sz w:val="28"/>
          <w:szCs w:val="28"/>
        </w:rPr>
        <w:t>firewood,</w:t>
      </w:r>
      <w:r w:rsidR="00C7408A">
        <w:rPr>
          <w:rFonts w:ascii="Arabic Typesetting" w:hAnsi="Arabic Typesetting" w:cs="Arabic Typesetting"/>
          <w:sz w:val="28"/>
          <w:szCs w:val="28"/>
        </w:rPr>
        <w:t xml:space="preserve"> but h</w:t>
      </w:r>
      <w:r w:rsidRPr="000F0DC1">
        <w:rPr>
          <w:rFonts w:ascii="Arabic Typesetting" w:hAnsi="Arabic Typesetting" w:cs="Arabic Typesetting"/>
          <w:sz w:val="28"/>
          <w:szCs w:val="28"/>
        </w:rPr>
        <w:t>e preferred to sit and lay there to calm his nerves and take some rest</w:t>
      </w:r>
      <w:r w:rsidR="00C7408A">
        <w:rPr>
          <w:rFonts w:ascii="Arabic Typesetting" w:hAnsi="Arabic Typesetting" w:cs="Arabic Typesetting"/>
          <w:sz w:val="28"/>
          <w:szCs w:val="28"/>
        </w:rPr>
        <w:t>,</w:t>
      </w:r>
      <w:r w:rsidRPr="000F0DC1">
        <w:rPr>
          <w:rFonts w:ascii="Arabic Typesetting" w:hAnsi="Arabic Typesetting" w:cs="Arabic Typesetting"/>
          <w:sz w:val="28"/>
          <w:szCs w:val="28"/>
        </w:rPr>
        <w:t xml:space="preserve"> when he happened to overhear a group of 40 thieves visiting their stored treasure. </w:t>
      </w:r>
      <w:r w:rsidR="00C7408A">
        <w:rPr>
          <w:rFonts w:ascii="Arabic Typesetting" w:hAnsi="Arabic Typesetting" w:cs="Arabic Typesetting"/>
          <w:sz w:val="28"/>
          <w:szCs w:val="28"/>
        </w:rPr>
        <w:t>“</w:t>
      </w:r>
      <w:r w:rsidRPr="00C7408A">
        <w:rPr>
          <w:rFonts w:ascii="Arabic Typesetting" w:hAnsi="Arabic Typesetting" w:cs="Arabic Typesetting"/>
          <w:i/>
          <w:iCs/>
          <w:sz w:val="28"/>
          <w:szCs w:val="28"/>
        </w:rPr>
        <w:t>For sure, they must be thieves to galop overnight in the open desert</w:t>
      </w:r>
      <w:r w:rsidR="00C7408A" w:rsidRPr="00C7408A">
        <w:rPr>
          <w:rFonts w:ascii="Arabic Typesetting" w:hAnsi="Arabic Typesetting" w:cs="Arabic Typesetting"/>
          <w:i/>
          <w:iCs/>
          <w:sz w:val="28"/>
          <w:szCs w:val="28"/>
        </w:rPr>
        <w:t>”</w:t>
      </w:r>
      <w:r w:rsidR="00C7408A">
        <w:rPr>
          <w:rFonts w:ascii="Arabic Typesetting" w:hAnsi="Arabic Typesetting" w:cs="Arabic Typesetting"/>
          <w:sz w:val="28"/>
          <w:szCs w:val="28"/>
        </w:rPr>
        <w:t>, he thought</w:t>
      </w:r>
      <w:r w:rsidRPr="000F0DC1">
        <w:rPr>
          <w:rFonts w:ascii="Arabic Typesetting" w:hAnsi="Arabic Typesetting" w:cs="Arabic Typesetting"/>
          <w:sz w:val="28"/>
          <w:szCs w:val="28"/>
        </w:rPr>
        <w:t xml:space="preserve">. He was poor but smart, and he sniffed the opportunity to know the precise place where the treasure had been hidden. “Their treasure is in a cave, the mouth of which is sealed by a huge rock. It opens on the magic words </w:t>
      </w:r>
      <w:r w:rsidR="00C7408A" w:rsidRPr="00C7408A">
        <w:rPr>
          <w:rFonts w:ascii="Arabic Typesetting" w:hAnsi="Arabic Typesetting" w:cs="Arabic Typesetting"/>
          <w:i/>
          <w:iCs/>
          <w:sz w:val="28"/>
          <w:szCs w:val="28"/>
        </w:rPr>
        <w:t>O</w:t>
      </w:r>
      <w:r w:rsidRPr="00C7408A">
        <w:rPr>
          <w:rFonts w:ascii="Arabic Typesetting" w:hAnsi="Arabic Typesetting" w:cs="Arabic Typesetting"/>
          <w:i/>
          <w:iCs/>
          <w:sz w:val="28"/>
          <w:szCs w:val="28"/>
        </w:rPr>
        <w:t xml:space="preserve">pen </w:t>
      </w:r>
      <w:r w:rsidR="00C7408A" w:rsidRPr="00C7408A">
        <w:rPr>
          <w:rFonts w:ascii="Arabic Typesetting" w:hAnsi="Arabic Typesetting" w:cs="Arabic Typesetting"/>
          <w:i/>
          <w:iCs/>
          <w:sz w:val="28"/>
          <w:szCs w:val="28"/>
        </w:rPr>
        <w:t>S</w:t>
      </w:r>
      <w:r w:rsidRPr="00C7408A">
        <w:rPr>
          <w:rFonts w:ascii="Arabic Typesetting" w:hAnsi="Arabic Typesetting" w:cs="Arabic Typesetting"/>
          <w:i/>
          <w:iCs/>
          <w:sz w:val="28"/>
          <w:szCs w:val="28"/>
        </w:rPr>
        <w:t>esame</w:t>
      </w:r>
      <w:r w:rsidRPr="000F0DC1">
        <w:rPr>
          <w:rFonts w:ascii="Arabic Typesetting" w:hAnsi="Arabic Typesetting" w:cs="Arabic Typesetting"/>
          <w:sz w:val="28"/>
          <w:szCs w:val="28"/>
        </w:rPr>
        <w:t xml:space="preserve"> and seals itself on the words </w:t>
      </w:r>
      <w:r w:rsidR="00C7408A" w:rsidRPr="00C7408A">
        <w:rPr>
          <w:rFonts w:ascii="Arabic Typesetting" w:hAnsi="Arabic Typesetting" w:cs="Arabic Typesetting"/>
          <w:i/>
          <w:iCs/>
          <w:sz w:val="28"/>
          <w:szCs w:val="28"/>
        </w:rPr>
        <w:t>C</w:t>
      </w:r>
      <w:r w:rsidRPr="00C7408A">
        <w:rPr>
          <w:rFonts w:ascii="Arabic Typesetting" w:hAnsi="Arabic Typesetting" w:cs="Arabic Typesetting"/>
          <w:i/>
          <w:iCs/>
          <w:sz w:val="28"/>
          <w:szCs w:val="28"/>
        </w:rPr>
        <w:t xml:space="preserve">lose </w:t>
      </w:r>
      <w:r w:rsidR="00C7408A" w:rsidRPr="00C7408A">
        <w:rPr>
          <w:rFonts w:ascii="Arabic Typesetting" w:hAnsi="Arabic Typesetting" w:cs="Arabic Typesetting"/>
          <w:i/>
          <w:iCs/>
          <w:sz w:val="28"/>
          <w:szCs w:val="28"/>
        </w:rPr>
        <w:t>S</w:t>
      </w:r>
      <w:r w:rsidRPr="00C7408A">
        <w:rPr>
          <w:rFonts w:ascii="Arabic Typesetting" w:hAnsi="Arabic Typesetting" w:cs="Arabic Typesetting"/>
          <w:i/>
          <w:iCs/>
          <w:sz w:val="28"/>
          <w:szCs w:val="28"/>
        </w:rPr>
        <w:t>esame</w:t>
      </w:r>
      <w:r w:rsidR="00C7408A">
        <w:rPr>
          <w:rFonts w:ascii="Arabic Typesetting" w:hAnsi="Arabic Typesetting" w:cs="Arabic Typesetting"/>
          <w:sz w:val="28"/>
          <w:szCs w:val="28"/>
        </w:rPr>
        <w:t>”,</w:t>
      </w:r>
      <w:r w:rsidRPr="000F0DC1">
        <w:rPr>
          <w:rFonts w:ascii="Arabic Typesetting" w:hAnsi="Arabic Typesetting" w:cs="Arabic Typesetting"/>
          <w:sz w:val="28"/>
          <w:szCs w:val="28"/>
        </w:rPr>
        <w:t xml:space="preserve"> he said to himself after spying on the thieves from behind the vegetation. When the thieves were gone, Ali Baba entered the cave himself and took a single bag of gold coins home. This is one of my favorite episodes from old tales</w:t>
      </w:r>
      <w:r w:rsidR="00C7408A">
        <w:rPr>
          <w:rFonts w:ascii="Arabic Typesetting" w:hAnsi="Arabic Typesetting" w:cs="Arabic Typesetting"/>
          <w:sz w:val="28"/>
          <w:szCs w:val="28"/>
        </w:rPr>
        <w:t xml:space="preserve"> from the book “One thousand and one nights”</w:t>
      </w:r>
      <w:r w:rsidRPr="000F0DC1">
        <w:rPr>
          <w:rFonts w:ascii="Arabic Typesetting" w:hAnsi="Arabic Typesetting" w:cs="Arabic Typesetting"/>
          <w:sz w:val="28"/>
          <w:szCs w:val="28"/>
        </w:rPr>
        <w:t xml:space="preserve">. Imagine myself as a boy going from door to door and screaming “Open Sesame!”. In a short time, I understood the most important morale of this story: knowing the right word may open the right doors. This is true for the job, for human relations, and for the economy. Our society has been built on words and language, but with time, the language changes to align with needs and human nature. The speed with which society is forging new terms helps us take a step forward with this change. So “I’m fine” becomes “I’m ok," and the old uncle Sam becomes the “boomer” </w:t>
      </w:r>
      <w:r w:rsidR="003868BF" w:rsidRPr="000F0DC1">
        <w:rPr>
          <w:rFonts w:ascii="Arabic Typesetting" w:hAnsi="Arabic Typesetting" w:cs="Arabic Typesetting"/>
          <w:sz w:val="28"/>
          <w:szCs w:val="28"/>
        </w:rPr>
        <w:t>Sam,</w:t>
      </w:r>
      <w:r w:rsidR="003868BF">
        <w:rPr>
          <w:rFonts w:ascii="Arabic Typesetting" w:hAnsi="Arabic Typesetting" w:cs="Arabic Typesetting"/>
          <w:sz w:val="28"/>
          <w:szCs w:val="28"/>
        </w:rPr>
        <w:t xml:space="preserve"> </w:t>
      </w:r>
      <w:r w:rsidRPr="000F0DC1">
        <w:rPr>
          <w:rFonts w:ascii="Arabic Typesetting" w:hAnsi="Arabic Typesetting" w:cs="Arabic Typesetting"/>
          <w:sz w:val="28"/>
          <w:szCs w:val="28"/>
        </w:rPr>
        <w:t xml:space="preserve">and you must speak </w:t>
      </w:r>
      <w:r w:rsidRPr="00576685">
        <w:rPr>
          <w:rFonts w:ascii="Arabic Typesetting" w:hAnsi="Arabic Typesetting" w:cs="Arabic Typesetting"/>
          <w:i/>
          <w:iCs/>
          <w:sz w:val="28"/>
          <w:szCs w:val="28"/>
        </w:rPr>
        <w:t>the language</w:t>
      </w:r>
      <w:r w:rsidRPr="000F0DC1">
        <w:rPr>
          <w:rFonts w:ascii="Arabic Typesetting" w:hAnsi="Arabic Typesetting" w:cs="Arabic Typesetting"/>
          <w:sz w:val="28"/>
          <w:szCs w:val="28"/>
        </w:rPr>
        <w:t xml:space="preserve"> to understand the situation you are in. </w:t>
      </w:r>
      <w:r w:rsidR="003868BF">
        <w:rPr>
          <w:rFonts w:ascii="Arabic Typesetting" w:hAnsi="Arabic Typesetting" w:cs="Arabic Typesetting"/>
          <w:sz w:val="28"/>
          <w:szCs w:val="28"/>
        </w:rPr>
        <w:t>Speaking of changes, t</w:t>
      </w:r>
      <w:r w:rsidRPr="000F0DC1">
        <w:rPr>
          <w:rFonts w:ascii="Arabic Typesetting" w:hAnsi="Arabic Typesetting" w:cs="Arabic Typesetting"/>
          <w:sz w:val="28"/>
          <w:szCs w:val="28"/>
        </w:rPr>
        <w:t xml:space="preserve">he world of environmental, social, and governance (ESG) investing is a labyrinth of acronyms. From SDG to SASB, these </w:t>
      </w:r>
      <w:r w:rsidR="00C14D40">
        <w:rPr>
          <w:rFonts w:ascii="Arabic Typesetting" w:hAnsi="Arabic Typesetting" w:cs="Arabic Typesetting"/>
          <w:sz w:val="28"/>
          <w:szCs w:val="28"/>
        </w:rPr>
        <w:t>intricate</w:t>
      </w:r>
      <w:r w:rsidRPr="000F0DC1">
        <w:rPr>
          <w:rFonts w:ascii="Arabic Typesetting" w:hAnsi="Arabic Typesetting" w:cs="Arabic Typesetting"/>
          <w:sz w:val="28"/>
          <w:szCs w:val="28"/>
        </w:rPr>
        <w:t xml:space="preserve"> combinations of letters can leave even the most </w:t>
      </w:r>
      <w:r w:rsidR="00C14D40">
        <w:rPr>
          <w:rFonts w:ascii="Arabic Typesetting" w:hAnsi="Arabic Typesetting" w:cs="Arabic Typesetting"/>
          <w:sz w:val="28"/>
          <w:szCs w:val="28"/>
        </w:rPr>
        <w:t>brilliant student</w:t>
      </w:r>
      <w:r w:rsidRPr="000F0DC1">
        <w:rPr>
          <w:rFonts w:ascii="Arabic Typesetting" w:hAnsi="Arabic Typesetting" w:cs="Arabic Typesetting"/>
          <w:sz w:val="28"/>
          <w:szCs w:val="28"/>
        </w:rPr>
        <w:t xml:space="preserve"> feeling </w:t>
      </w:r>
      <w:r w:rsidR="00C14D40">
        <w:rPr>
          <w:rFonts w:ascii="Arabic Typesetting" w:hAnsi="Arabic Typesetting" w:cs="Arabic Typesetting"/>
          <w:sz w:val="28"/>
          <w:szCs w:val="28"/>
        </w:rPr>
        <w:t>disoriented</w:t>
      </w:r>
      <w:r w:rsidRPr="000F0DC1">
        <w:rPr>
          <w:rFonts w:ascii="Arabic Typesetting" w:hAnsi="Arabic Typesetting" w:cs="Arabic Typesetting"/>
          <w:sz w:val="28"/>
          <w:szCs w:val="28"/>
        </w:rPr>
        <w:t xml:space="preserve">. However, navigating this </w:t>
      </w:r>
      <w:r w:rsidR="00C14D40">
        <w:rPr>
          <w:rFonts w:ascii="Arabic Typesetting" w:hAnsi="Arabic Typesetting" w:cs="Arabic Typesetting"/>
          <w:sz w:val="28"/>
          <w:szCs w:val="28"/>
        </w:rPr>
        <w:t>sea of terms and words</w:t>
      </w:r>
      <w:r w:rsidRPr="000F0DC1">
        <w:rPr>
          <w:rFonts w:ascii="Arabic Typesetting" w:hAnsi="Arabic Typesetting" w:cs="Arabic Typesetting"/>
          <w:sz w:val="28"/>
          <w:szCs w:val="28"/>
        </w:rPr>
        <w:t xml:space="preserve"> is essential for understanding the intricate </w:t>
      </w:r>
      <w:r w:rsidR="00C14D40">
        <w:rPr>
          <w:rFonts w:ascii="Arabic Typesetting" w:hAnsi="Arabic Typesetting" w:cs="Arabic Typesetting"/>
          <w:sz w:val="28"/>
          <w:szCs w:val="28"/>
        </w:rPr>
        <w:t>panorama of Sustainability</w:t>
      </w:r>
      <w:r w:rsidRPr="000F0DC1">
        <w:rPr>
          <w:rFonts w:ascii="Arabic Typesetting" w:hAnsi="Arabic Typesetting" w:cs="Arabic Typesetting"/>
          <w:sz w:val="28"/>
          <w:szCs w:val="28"/>
        </w:rPr>
        <w:t>.</w:t>
      </w:r>
      <w:r w:rsidR="00C14D40">
        <w:rPr>
          <w:rFonts w:ascii="Arabic Typesetting" w:hAnsi="Arabic Typesetting" w:cs="Arabic Typesetting"/>
          <w:sz w:val="28"/>
          <w:szCs w:val="28"/>
        </w:rPr>
        <w:t xml:space="preserve"> Like smart Ali we must be open to this new puzzle and be </w:t>
      </w:r>
      <w:r w:rsidR="00C14D40">
        <w:rPr>
          <w:rFonts w:ascii="Arabic Typesetting" w:hAnsi="Arabic Typesetting" w:cs="Arabic Typesetting"/>
          <w:sz w:val="28"/>
          <w:szCs w:val="28"/>
        </w:rPr>
        <w:lastRenderedPageBreak/>
        <w:t>focused. For example, why don’t we start with the wider general term of ESG?</w:t>
      </w:r>
      <w:r w:rsidRPr="000F0DC1">
        <w:rPr>
          <w:rFonts w:ascii="Arabic Typesetting" w:hAnsi="Arabic Typesetting" w:cs="Arabic Typesetting"/>
          <w:sz w:val="28"/>
          <w:szCs w:val="28"/>
        </w:rPr>
        <w:t xml:space="preserve"> ESG itself stands for environmental, social, and governance factors. Environmental factors consider a company's impact on the planet, including its carbon footprint, pollution levels, </w:t>
      </w:r>
      <w:r w:rsidR="00C14D40">
        <w:rPr>
          <w:rFonts w:ascii="Arabic Typesetting" w:hAnsi="Arabic Typesetting" w:cs="Arabic Typesetting"/>
          <w:sz w:val="28"/>
          <w:szCs w:val="28"/>
        </w:rPr>
        <w:t>and sustainability commitment</w:t>
      </w:r>
      <w:r w:rsidRPr="000F0DC1">
        <w:rPr>
          <w:rFonts w:ascii="Arabic Typesetting" w:hAnsi="Arabic Typesetting" w:cs="Arabic Typesetting"/>
          <w:sz w:val="28"/>
          <w:szCs w:val="28"/>
        </w:rPr>
        <w:t xml:space="preserve">. Social factors assess a company's relationship with its stakeholders, such </w:t>
      </w:r>
      <w:r w:rsidR="00C14D40">
        <w:rPr>
          <w:rFonts w:ascii="Arabic Typesetting" w:hAnsi="Arabic Typesetting" w:cs="Arabic Typesetting"/>
          <w:sz w:val="28"/>
          <w:szCs w:val="28"/>
        </w:rPr>
        <w:t>employees</w:t>
      </w:r>
      <w:r w:rsidRPr="000F0DC1">
        <w:rPr>
          <w:rFonts w:ascii="Arabic Typesetting" w:hAnsi="Arabic Typesetting" w:cs="Arabic Typesetting"/>
          <w:sz w:val="28"/>
          <w:szCs w:val="28"/>
        </w:rPr>
        <w:t xml:space="preserve">, </w:t>
      </w:r>
      <w:r w:rsidR="00C14D40">
        <w:rPr>
          <w:rFonts w:ascii="Arabic Typesetting" w:hAnsi="Arabic Typesetting" w:cs="Arabic Typesetting"/>
          <w:sz w:val="28"/>
          <w:szCs w:val="28"/>
        </w:rPr>
        <w:t>but in general the whole society</w:t>
      </w:r>
      <w:r w:rsidRPr="000F0DC1">
        <w:rPr>
          <w:rFonts w:ascii="Arabic Typesetting" w:hAnsi="Arabic Typesetting" w:cs="Arabic Typesetting"/>
          <w:sz w:val="28"/>
          <w:szCs w:val="28"/>
        </w:rPr>
        <w:t xml:space="preserve">. Finally, governance factors analyze how a company is run, focusing on its leadership structure, and </w:t>
      </w:r>
      <w:r w:rsidR="00C14D40">
        <w:rPr>
          <w:rFonts w:ascii="Arabic Typesetting" w:hAnsi="Arabic Typesetting" w:cs="Arabic Typesetting"/>
          <w:sz w:val="28"/>
          <w:szCs w:val="28"/>
        </w:rPr>
        <w:t>response to environmental situations</w:t>
      </w:r>
      <w:r w:rsidRPr="000F0DC1">
        <w:rPr>
          <w:rFonts w:ascii="Arabic Typesetting" w:hAnsi="Arabic Typesetting" w:cs="Arabic Typesetting"/>
          <w:sz w:val="28"/>
          <w:szCs w:val="28"/>
        </w:rPr>
        <w:t>. Beyond th</w:t>
      </w:r>
      <w:r w:rsidR="00C14D40">
        <w:rPr>
          <w:rFonts w:ascii="Arabic Typesetting" w:hAnsi="Arabic Typesetting" w:cs="Arabic Typesetting"/>
          <w:sz w:val="28"/>
          <w:szCs w:val="28"/>
        </w:rPr>
        <w:t>is initial term</w:t>
      </w:r>
      <w:r w:rsidRPr="000F0DC1">
        <w:rPr>
          <w:rFonts w:ascii="Arabic Typesetting" w:hAnsi="Arabic Typesetting" w:cs="Arabic Typesetting"/>
          <w:sz w:val="28"/>
          <w:szCs w:val="28"/>
        </w:rPr>
        <w:t xml:space="preserve">, a </w:t>
      </w:r>
      <w:r w:rsidR="00C14D40">
        <w:rPr>
          <w:rFonts w:ascii="Arabic Typesetting" w:hAnsi="Arabic Typesetting" w:cs="Arabic Typesetting"/>
          <w:sz w:val="28"/>
          <w:szCs w:val="28"/>
        </w:rPr>
        <w:t>forest</w:t>
      </w:r>
      <w:r w:rsidRPr="000F0DC1">
        <w:rPr>
          <w:rFonts w:ascii="Arabic Typesetting" w:hAnsi="Arabic Typesetting" w:cs="Arabic Typesetting"/>
          <w:sz w:val="28"/>
          <w:szCs w:val="28"/>
        </w:rPr>
        <w:t xml:space="preserve"> of acronyms </w:t>
      </w:r>
      <w:r w:rsidR="00C14D40" w:rsidRPr="000F0DC1">
        <w:rPr>
          <w:rFonts w:ascii="Arabic Typesetting" w:hAnsi="Arabic Typesetting" w:cs="Arabic Typesetting"/>
          <w:sz w:val="28"/>
          <w:szCs w:val="28"/>
        </w:rPr>
        <w:t>delves</w:t>
      </w:r>
      <w:r w:rsidRPr="000F0DC1">
        <w:rPr>
          <w:rFonts w:ascii="Arabic Typesetting" w:hAnsi="Arabic Typesetting" w:cs="Arabic Typesetting"/>
          <w:sz w:val="28"/>
          <w:szCs w:val="28"/>
        </w:rPr>
        <w:t xml:space="preserve"> deeper into specific ESG aspects</w:t>
      </w:r>
      <w:r w:rsidR="00576685">
        <w:rPr>
          <w:rFonts w:ascii="Arabic Typesetting" w:hAnsi="Arabic Typesetting" w:cs="Arabic Typesetting"/>
          <w:sz w:val="28"/>
          <w:szCs w:val="28"/>
        </w:rPr>
        <w:t>, like SDGs, GRI, PRI, II, GHG. Directly under the ESG I’s like to introduce you the SDGs.</w:t>
      </w:r>
      <w:r w:rsidRPr="000F0DC1">
        <w:rPr>
          <w:rFonts w:ascii="Arabic Typesetting" w:hAnsi="Arabic Typesetting" w:cs="Arabic Typesetting"/>
          <w:sz w:val="28"/>
          <w:szCs w:val="28"/>
        </w:rPr>
        <w:t xml:space="preserve"> The Sustainable Development Goals (SDGs), a set of 17 global goals established by the United Nations, </w:t>
      </w:r>
      <w:r w:rsidR="003868BF" w:rsidRPr="000F0DC1">
        <w:rPr>
          <w:rFonts w:ascii="Arabic Typesetting" w:hAnsi="Arabic Typesetting" w:cs="Arabic Typesetting"/>
          <w:sz w:val="28"/>
          <w:szCs w:val="28"/>
        </w:rPr>
        <w:t>provides</w:t>
      </w:r>
      <w:r w:rsidRPr="000F0DC1">
        <w:rPr>
          <w:rFonts w:ascii="Arabic Typesetting" w:hAnsi="Arabic Typesetting" w:cs="Arabic Typesetting"/>
          <w:sz w:val="28"/>
          <w:szCs w:val="28"/>
        </w:rPr>
        <w:t xml:space="preserve"> a framework for measuring progress towards a sustainable future. </w:t>
      </w:r>
      <w:r w:rsidR="00C14D40">
        <w:rPr>
          <w:rFonts w:ascii="Arabic Typesetting" w:hAnsi="Arabic Typesetting" w:cs="Arabic Typesetting"/>
          <w:sz w:val="28"/>
          <w:szCs w:val="28"/>
        </w:rPr>
        <w:t xml:space="preserve">Readers </w:t>
      </w:r>
      <w:r w:rsidRPr="000F0DC1">
        <w:rPr>
          <w:rFonts w:ascii="Arabic Typesetting" w:hAnsi="Arabic Typesetting" w:cs="Arabic Typesetting"/>
          <w:sz w:val="28"/>
          <w:szCs w:val="28"/>
        </w:rPr>
        <w:t xml:space="preserve">might also encounter acronyms like GRI (Global Reporting Initiative), a prominent sustainability reporting standard, and PRI (Principles for Responsible Investment), a set of guidelines for incorporating ESG factors into investment decisions. Understanding these acronyms is crucial, but it's not enough. </w:t>
      </w:r>
      <w:r w:rsidR="00C9370C">
        <w:rPr>
          <w:rFonts w:ascii="Arabic Typesetting" w:hAnsi="Arabic Typesetting" w:cs="Arabic Typesetting"/>
          <w:sz w:val="28"/>
          <w:szCs w:val="28"/>
        </w:rPr>
        <w:t xml:space="preserve">Good analysts </w:t>
      </w:r>
      <w:r w:rsidRPr="000F0DC1">
        <w:rPr>
          <w:rFonts w:ascii="Arabic Typesetting" w:hAnsi="Arabic Typesetting" w:cs="Arabic Typesetting"/>
          <w:sz w:val="28"/>
          <w:szCs w:val="28"/>
        </w:rPr>
        <w:t xml:space="preserve">need to delve deeper </w:t>
      </w:r>
      <w:r w:rsidR="00C9370C">
        <w:rPr>
          <w:rFonts w:ascii="Arabic Typesetting" w:hAnsi="Arabic Typesetting" w:cs="Arabic Typesetting"/>
          <w:sz w:val="28"/>
          <w:szCs w:val="28"/>
        </w:rPr>
        <w:t>under the matter</w:t>
      </w:r>
      <w:r w:rsidRPr="000F0DC1">
        <w:rPr>
          <w:rFonts w:ascii="Arabic Typesetting" w:hAnsi="Arabic Typesetting" w:cs="Arabic Typesetting"/>
          <w:sz w:val="28"/>
          <w:szCs w:val="28"/>
        </w:rPr>
        <w:t xml:space="preserve"> be</w:t>
      </w:r>
      <w:r w:rsidR="00C9370C">
        <w:rPr>
          <w:rFonts w:ascii="Arabic Typesetting" w:hAnsi="Arabic Typesetting" w:cs="Arabic Typesetting"/>
          <w:sz w:val="28"/>
          <w:szCs w:val="28"/>
        </w:rPr>
        <w:t>neath</w:t>
      </w:r>
      <w:r w:rsidRPr="000F0DC1">
        <w:rPr>
          <w:rFonts w:ascii="Arabic Typesetting" w:hAnsi="Arabic Typesetting" w:cs="Arabic Typesetting"/>
          <w:sz w:val="28"/>
          <w:szCs w:val="28"/>
        </w:rPr>
        <w:t xml:space="preserve"> each abbreviation. For instance, there's a difference between ESG integration, which involves considering ESG factors alongside traditional financial analysis, and </w:t>
      </w:r>
      <w:r w:rsidR="00C9370C">
        <w:rPr>
          <w:rFonts w:ascii="Arabic Typesetting" w:hAnsi="Arabic Typesetting" w:cs="Arabic Typesetting"/>
          <w:sz w:val="28"/>
          <w:szCs w:val="28"/>
        </w:rPr>
        <w:t>II (Impact Investing)</w:t>
      </w:r>
      <w:r w:rsidRPr="000F0DC1">
        <w:rPr>
          <w:rFonts w:ascii="Arabic Typesetting" w:hAnsi="Arabic Typesetting" w:cs="Arabic Typesetting"/>
          <w:sz w:val="28"/>
          <w:szCs w:val="28"/>
        </w:rPr>
        <w:t xml:space="preserve">, which </w:t>
      </w:r>
      <w:r w:rsidR="00C9370C">
        <w:rPr>
          <w:rFonts w:ascii="Arabic Typesetting" w:hAnsi="Arabic Typesetting" w:cs="Arabic Typesetting"/>
          <w:sz w:val="28"/>
          <w:szCs w:val="28"/>
        </w:rPr>
        <w:t>is more focused</w:t>
      </w:r>
      <w:r w:rsidRPr="000F0DC1">
        <w:rPr>
          <w:rFonts w:ascii="Arabic Typesetting" w:hAnsi="Arabic Typesetting" w:cs="Arabic Typesetting"/>
          <w:sz w:val="28"/>
          <w:szCs w:val="28"/>
        </w:rPr>
        <w:t xml:space="preserve"> on investments that generate positive social and environmental outcomes.</w:t>
      </w:r>
    </w:p>
    <w:p w14:paraId="7C103DC3" w14:textId="2EDD40E1" w:rsidR="000F0DC1" w:rsidRPr="000F0DC1" w:rsidRDefault="000F0DC1" w:rsidP="000F0DC1">
      <w:p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 xml:space="preserve">The initial </w:t>
      </w:r>
      <w:r w:rsidR="00C9370C">
        <w:rPr>
          <w:rFonts w:ascii="Arabic Typesetting" w:hAnsi="Arabic Typesetting" w:cs="Arabic Typesetting"/>
          <w:sz w:val="28"/>
          <w:szCs w:val="28"/>
        </w:rPr>
        <w:t>steps</w:t>
      </w:r>
      <w:r w:rsidRPr="000F0DC1">
        <w:rPr>
          <w:rFonts w:ascii="Arabic Typesetting" w:hAnsi="Arabic Typesetting" w:cs="Arabic Typesetting"/>
          <w:sz w:val="28"/>
          <w:szCs w:val="28"/>
        </w:rPr>
        <w:t xml:space="preserve"> into ESG </w:t>
      </w:r>
      <w:r w:rsidR="00C9370C">
        <w:rPr>
          <w:rFonts w:ascii="Arabic Typesetting" w:hAnsi="Arabic Typesetting" w:cs="Arabic Typesetting"/>
          <w:sz w:val="28"/>
          <w:szCs w:val="28"/>
        </w:rPr>
        <w:t>world highlight</w:t>
      </w:r>
      <w:r w:rsidRPr="000F0DC1">
        <w:rPr>
          <w:rFonts w:ascii="Arabic Typesetting" w:hAnsi="Arabic Typesetting" w:cs="Arabic Typesetting"/>
          <w:sz w:val="28"/>
          <w:szCs w:val="28"/>
        </w:rPr>
        <w:t xml:space="preserve"> the</w:t>
      </w:r>
      <w:r w:rsidR="00C9370C">
        <w:rPr>
          <w:rFonts w:ascii="Arabic Typesetting" w:hAnsi="Arabic Typesetting" w:cs="Arabic Typesetting"/>
          <w:sz w:val="28"/>
          <w:szCs w:val="28"/>
        </w:rPr>
        <w:t xml:space="preserve"> need </w:t>
      </w:r>
      <w:r w:rsidR="00576685">
        <w:rPr>
          <w:rFonts w:ascii="Arabic Typesetting" w:hAnsi="Arabic Typesetting" w:cs="Arabic Typesetting"/>
          <w:sz w:val="28"/>
          <w:szCs w:val="28"/>
        </w:rPr>
        <w:t>for</w:t>
      </w:r>
      <w:r w:rsidR="00C9370C">
        <w:rPr>
          <w:rFonts w:ascii="Arabic Typesetting" w:hAnsi="Arabic Typesetting" w:cs="Arabic Typesetting"/>
          <w:sz w:val="28"/>
          <w:szCs w:val="28"/>
        </w:rPr>
        <w:t xml:space="preserve"> </w:t>
      </w:r>
      <w:r w:rsidR="00C9370C" w:rsidRPr="000F0DC1">
        <w:rPr>
          <w:rFonts w:ascii="Arabic Typesetting" w:hAnsi="Arabic Typesetting" w:cs="Arabic Typesetting"/>
          <w:sz w:val="28"/>
          <w:szCs w:val="28"/>
        </w:rPr>
        <w:t>foundational</w:t>
      </w:r>
      <w:r w:rsidRPr="000F0DC1">
        <w:rPr>
          <w:rFonts w:ascii="Arabic Typesetting" w:hAnsi="Arabic Typesetting" w:cs="Arabic Typesetting"/>
          <w:sz w:val="28"/>
          <w:szCs w:val="28"/>
        </w:rPr>
        <w:t xml:space="preserve"> knowledge </w:t>
      </w:r>
      <w:r w:rsidR="00C9370C">
        <w:rPr>
          <w:rFonts w:ascii="Arabic Typesetting" w:hAnsi="Arabic Typesetting" w:cs="Arabic Typesetting"/>
          <w:sz w:val="28"/>
          <w:szCs w:val="28"/>
        </w:rPr>
        <w:t xml:space="preserve">which every curious reader must possess </w:t>
      </w:r>
      <w:r w:rsidRPr="000F0DC1">
        <w:rPr>
          <w:rFonts w:ascii="Arabic Typesetting" w:hAnsi="Arabic Typesetting" w:cs="Arabic Typesetting"/>
          <w:sz w:val="28"/>
          <w:szCs w:val="28"/>
        </w:rPr>
        <w:t>to navigate the field. But true understanding lies in appreciating the s</w:t>
      </w:r>
      <w:r w:rsidR="00C9370C">
        <w:rPr>
          <w:rFonts w:ascii="Arabic Typesetting" w:hAnsi="Arabic Typesetting" w:cs="Arabic Typesetting"/>
          <w:sz w:val="28"/>
          <w:szCs w:val="28"/>
        </w:rPr>
        <w:t>hades</w:t>
      </w:r>
      <w:r w:rsidRPr="000F0DC1">
        <w:rPr>
          <w:rFonts w:ascii="Arabic Typesetting" w:hAnsi="Arabic Typesetting" w:cs="Arabic Typesetting"/>
          <w:sz w:val="28"/>
          <w:szCs w:val="28"/>
        </w:rPr>
        <w:t xml:space="preserve"> these acronyms represent. </w:t>
      </w:r>
      <w:r w:rsidR="00C9370C">
        <w:rPr>
          <w:rFonts w:ascii="Arabic Typesetting" w:hAnsi="Arabic Typesetting" w:cs="Arabic Typesetting"/>
          <w:sz w:val="28"/>
          <w:szCs w:val="28"/>
        </w:rPr>
        <w:t>Someone can master these new skills by moving forward the comprehension of three different aspects</w:t>
      </w:r>
      <w:r w:rsidRPr="000F0DC1">
        <w:rPr>
          <w:rFonts w:ascii="Arabic Typesetting" w:hAnsi="Arabic Typesetting" w:cs="Arabic Typesetting"/>
          <w:sz w:val="28"/>
          <w:szCs w:val="28"/>
        </w:rPr>
        <w:t>:</w:t>
      </w:r>
    </w:p>
    <w:p w14:paraId="23769645" w14:textId="269581BA" w:rsidR="000F0DC1" w:rsidRPr="000F0DC1" w:rsidRDefault="000F0DC1" w:rsidP="000F0DC1">
      <w:pPr>
        <w:pStyle w:val="ListParagraph"/>
        <w:numPr>
          <w:ilvl w:val="0"/>
          <w:numId w:val="3"/>
        </w:num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 xml:space="preserve">Metrics: Acronyms like GHG (Greenhouse Gas Emissions) or WEEE (Waste Electrical and Electronic Equipment) represent specific, measurable </w:t>
      </w:r>
      <w:r w:rsidR="00C9370C">
        <w:rPr>
          <w:rFonts w:ascii="Arabic Typesetting" w:hAnsi="Arabic Typesetting" w:cs="Arabic Typesetting"/>
          <w:sz w:val="28"/>
          <w:szCs w:val="28"/>
        </w:rPr>
        <w:t>information</w:t>
      </w:r>
      <w:r w:rsidRPr="000F0DC1">
        <w:rPr>
          <w:rFonts w:ascii="Arabic Typesetting" w:hAnsi="Arabic Typesetting" w:cs="Arabic Typesetting"/>
          <w:sz w:val="28"/>
          <w:szCs w:val="28"/>
        </w:rPr>
        <w:t xml:space="preserve"> used to assess a company's environmental </w:t>
      </w:r>
      <w:r w:rsidR="00C9370C">
        <w:rPr>
          <w:rFonts w:ascii="Arabic Typesetting" w:hAnsi="Arabic Typesetting" w:cs="Arabic Typesetting"/>
          <w:sz w:val="28"/>
          <w:szCs w:val="28"/>
        </w:rPr>
        <w:t>footprint</w:t>
      </w:r>
      <w:r w:rsidRPr="000F0DC1">
        <w:rPr>
          <w:rFonts w:ascii="Arabic Typesetting" w:hAnsi="Arabic Typesetting" w:cs="Arabic Typesetting"/>
          <w:sz w:val="28"/>
          <w:szCs w:val="28"/>
        </w:rPr>
        <w:t xml:space="preserve">. These metrics, often reported in a company's CSR (Corporate Social Responsibility) report, provide </w:t>
      </w:r>
      <w:r w:rsidR="00C9370C">
        <w:rPr>
          <w:rFonts w:ascii="Arabic Typesetting" w:hAnsi="Arabic Typesetting" w:cs="Arabic Typesetting"/>
          <w:sz w:val="28"/>
          <w:szCs w:val="28"/>
        </w:rPr>
        <w:t>an important pow about a business impact on society.</w:t>
      </w:r>
    </w:p>
    <w:p w14:paraId="176F9775" w14:textId="58D4CF8F" w:rsidR="000F0DC1" w:rsidRPr="000F0DC1" w:rsidRDefault="000F0DC1" w:rsidP="000F0DC1">
      <w:pPr>
        <w:pStyle w:val="ListParagraph"/>
        <w:numPr>
          <w:ilvl w:val="0"/>
          <w:numId w:val="3"/>
        </w:num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 xml:space="preserve">Frameworks: On the other hand, acronyms like SASB (Sustainability Accounting Standards Board) or TCFD (Task Force on Climate-Related Financial Disclosures) establish standardized </w:t>
      </w:r>
      <w:r w:rsidR="00C9370C">
        <w:rPr>
          <w:rFonts w:ascii="Arabic Typesetting" w:hAnsi="Arabic Typesetting" w:cs="Arabic Typesetting"/>
          <w:sz w:val="28"/>
          <w:szCs w:val="28"/>
        </w:rPr>
        <w:t>technique</w:t>
      </w:r>
      <w:r w:rsidRPr="000F0DC1">
        <w:rPr>
          <w:rFonts w:ascii="Arabic Typesetting" w:hAnsi="Arabic Typesetting" w:cs="Arabic Typesetting"/>
          <w:sz w:val="28"/>
          <w:szCs w:val="28"/>
        </w:rPr>
        <w:t xml:space="preserve">s for companies to report on ESG factors. These frameworks go beyond basic </w:t>
      </w:r>
      <w:r w:rsidR="00C9370C">
        <w:rPr>
          <w:rFonts w:ascii="Arabic Typesetting" w:hAnsi="Arabic Typesetting" w:cs="Arabic Typesetting"/>
          <w:sz w:val="28"/>
          <w:szCs w:val="28"/>
        </w:rPr>
        <w:t>needs</w:t>
      </w:r>
      <w:r w:rsidRPr="000F0DC1">
        <w:rPr>
          <w:rFonts w:ascii="Arabic Typesetting" w:hAnsi="Arabic Typesetting" w:cs="Arabic Typesetting"/>
          <w:sz w:val="28"/>
          <w:szCs w:val="28"/>
        </w:rPr>
        <w:t xml:space="preserve">, requiring companies to </w:t>
      </w:r>
      <w:r w:rsidR="00C9370C">
        <w:rPr>
          <w:rFonts w:ascii="Arabic Typesetting" w:hAnsi="Arabic Typesetting" w:cs="Arabic Typesetting"/>
          <w:sz w:val="28"/>
          <w:szCs w:val="28"/>
        </w:rPr>
        <w:t>show</w:t>
      </w:r>
      <w:r w:rsidRPr="000F0DC1">
        <w:rPr>
          <w:rFonts w:ascii="Arabic Typesetting" w:hAnsi="Arabic Typesetting" w:cs="Arabic Typesetting"/>
          <w:sz w:val="28"/>
          <w:szCs w:val="28"/>
        </w:rPr>
        <w:t xml:space="preserve"> their approach to managing ESG risks and opportunities. Understanding the framework being used </w:t>
      </w:r>
      <w:r w:rsidR="00C9370C">
        <w:rPr>
          <w:rFonts w:ascii="Arabic Typesetting" w:hAnsi="Arabic Typesetting" w:cs="Arabic Typesetting"/>
          <w:sz w:val="28"/>
          <w:szCs w:val="28"/>
        </w:rPr>
        <w:t>gives a crucial vision to understand the reported data, and in the end the result on the environment.</w:t>
      </w:r>
    </w:p>
    <w:p w14:paraId="2F12146F" w14:textId="71620343" w:rsidR="000F0DC1" w:rsidRPr="000F0DC1" w:rsidRDefault="00C9370C" w:rsidP="000F0DC1">
      <w:pPr>
        <w:spacing w:line="360" w:lineRule="auto"/>
        <w:rPr>
          <w:rFonts w:ascii="Arabic Typesetting" w:hAnsi="Arabic Typesetting" w:cs="Arabic Typesetting"/>
          <w:sz w:val="28"/>
          <w:szCs w:val="28"/>
        </w:rPr>
      </w:pPr>
      <w:r>
        <w:rPr>
          <w:rFonts w:ascii="Arabic Typesetting" w:hAnsi="Arabic Typesetting" w:cs="Arabic Typesetting"/>
          <w:sz w:val="28"/>
          <w:szCs w:val="28"/>
        </w:rPr>
        <w:t xml:space="preserve"> Acronyms are used for describing legal entities like the </w:t>
      </w:r>
      <w:r w:rsidR="000F0DC1" w:rsidRPr="000F0DC1">
        <w:rPr>
          <w:rFonts w:ascii="Arabic Typesetting" w:hAnsi="Arabic Typesetting" w:cs="Arabic Typesetting"/>
          <w:sz w:val="28"/>
          <w:szCs w:val="28"/>
        </w:rPr>
        <w:t>ESG Rating Agencies</w:t>
      </w:r>
      <w:r>
        <w:rPr>
          <w:rFonts w:ascii="Arabic Typesetting" w:hAnsi="Arabic Typesetting" w:cs="Arabic Typesetting"/>
          <w:sz w:val="28"/>
          <w:szCs w:val="28"/>
        </w:rPr>
        <w:t xml:space="preserve">. </w:t>
      </w:r>
      <w:r w:rsidR="000F0DC1" w:rsidRPr="000F0DC1">
        <w:rPr>
          <w:rFonts w:ascii="Arabic Typesetting" w:hAnsi="Arabic Typesetting" w:cs="Arabic Typesetting"/>
          <w:sz w:val="28"/>
          <w:szCs w:val="28"/>
        </w:rPr>
        <w:t xml:space="preserve">MSCI ESG or ISS ESG represent companies that analyze and score companies on their ESG performance. These ratings provide a relative comparison of a </w:t>
      </w:r>
      <w:r w:rsidR="000F0DC1" w:rsidRPr="000F0DC1">
        <w:rPr>
          <w:rFonts w:ascii="Arabic Typesetting" w:hAnsi="Arabic Typesetting" w:cs="Arabic Typesetting"/>
          <w:sz w:val="28"/>
          <w:szCs w:val="28"/>
        </w:rPr>
        <w:lastRenderedPageBreak/>
        <w:t xml:space="preserve">company's ESG performance within its industry. However, </w:t>
      </w:r>
      <w:r>
        <w:rPr>
          <w:rFonts w:ascii="Arabic Typesetting" w:hAnsi="Arabic Typesetting" w:cs="Arabic Typesetting"/>
          <w:sz w:val="28"/>
          <w:szCs w:val="28"/>
        </w:rPr>
        <w:t>a good reader will soon understand that</w:t>
      </w:r>
      <w:r w:rsidR="000F0DC1" w:rsidRPr="000F0DC1">
        <w:rPr>
          <w:rFonts w:ascii="Arabic Typesetting" w:hAnsi="Arabic Typesetting" w:cs="Arabic Typesetting"/>
          <w:sz w:val="28"/>
          <w:szCs w:val="28"/>
        </w:rPr>
        <w:t xml:space="preserve"> different rating agencies use different </w:t>
      </w:r>
      <w:r w:rsidR="00576685">
        <w:rPr>
          <w:rFonts w:ascii="Arabic Typesetting" w:hAnsi="Arabic Typesetting" w:cs="Arabic Typesetting"/>
          <w:sz w:val="28"/>
          <w:szCs w:val="28"/>
        </w:rPr>
        <w:t>acronyms,</w:t>
      </w:r>
      <w:r w:rsidR="000F0DC1" w:rsidRPr="000F0DC1">
        <w:rPr>
          <w:rFonts w:ascii="Arabic Typesetting" w:hAnsi="Arabic Typesetting" w:cs="Arabic Typesetting"/>
          <w:sz w:val="28"/>
          <w:szCs w:val="28"/>
        </w:rPr>
        <w:t xml:space="preserve"> so a high rating from one agency might not translate directly to another.</w:t>
      </w:r>
    </w:p>
    <w:p w14:paraId="6AC2A93F" w14:textId="6C159E3D" w:rsidR="000F0DC1" w:rsidRDefault="000F0DC1" w:rsidP="000F0DC1">
      <w:p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 xml:space="preserve">Remember: Acronyms are just starting points. </w:t>
      </w:r>
      <w:r w:rsidR="00E23174">
        <w:rPr>
          <w:rFonts w:ascii="Arabic Typesetting" w:hAnsi="Arabic Typesetting" w:cs="Arabic Typesetting"/>
          <w:sz w:val="28"/>
          <w:szCs w:val="28"/>
        </w:rPr>
        <w:t>The first step is to understand</w:t>
      </w:r>
      <w:r w:rsidRPr="000F0DC1">
        <w:rPr>
          <w:rFonts w:ascii="Arabic Typesetting" w:hAnsi="Arabic Typesetting" w:cs="Arabic Typesetting"/>
          <w:sz w:val="28"/>
          <w:szCs w:val="28"/>
        </w:rPr>
        <w:t xml:space="preserve"> the concepts behind the acronyms and how they interrelate, </w:t>
      </w:r>
      <w:r w:rsidR="00E23174">
        <w:rPr>
          <w:rFonts w:ascii="Arabic Typesetting" w:hAnsi="Arabic Typesetting" w:cs="Arabic Typesetting"/>
          <w:sz w:val="28"/>
          <w:szCs w:val="28"/>
        </w:rPr>
        <w:t xml:space="preserve">and then </w:t>
      </w:r>
      <w:r w:rsidRPr="000F0DC1">
        <w:rPr>
          <w:rFonts w:ascii="Arabic Typesetting" w:hAnsi="Arabic Typesetting" w:cs="Arabic Typesetting"/>
          <w:sz w:val="28"/>
          <w:szCs w:val="28"/>
        </w:rPr>
        <w:t>gain a richer understanding of a company's ESG commitment.</w:t>
      </w:r>
      <w:r w:rsidR="00E23174">
        <w:rPr>
          <w:rFonts w:ascii="Arabic Typesetting" w:hAnsi="Arabic Typesetting" w:cs="Arabic Typesetting"/>
          <w:sz w:val="28"/>
          <w:szCs w:val="28"/>
        </w:rPr>
        <w:t xml:space="preserve"> For example, l</w:t>
      </w:r>
      <w:r w:rsidRPr="000F0DC1">
        <w:rPr>
          <w:rFonts w:ascii="Arabic Typesetting" w:hAnsi="Arabic Typesetting" w:cs="Arabic Typesetting"/>
          <w:sz w:val="28"/>
          <w:szCs w:val="28"/>
        </w:rPr>
        <w:t>ook for evidence-based reporting that goes beyond simply listing metrics</w:t>
      </w:r>
      <w:r w:rsidR="00E23174">
        <w:rPr>
          <w:rFonts w:ascii="Arabic Typesetting" w:hAnsi="Arabic Typesetting" w:cs="Arabic Typesetting"/>
          <w:sz w:val="28"/>
          <w:szCs w:val="28"/>
        </w:rPr>
        <w:t>, and a</w:t>
      </w:r>
      <w:r w:rsidRPr="000F0DC1">
        <w:rPr>
          <w:rFonts w:ascii="Arabic Typesetting" w:hAnsi="Arabic Typesetting" w:cs="Arabic Typesetting"/>
          <w:sz w:val="28"/>
          <w:szCs w:val="28"/>
        </w:rPr>
        <w:t>nalyze how a company integrates ESG factors into its strategy and how it manages related risks.</w:t>
      </w:r>
      <w:r w:rsidR="00E23174">
        <w:rPr>
          <w:rFonts w:ascii="Arabic Typesetting" w:hAnsi="Arabic Typesetting" w:cs="Arabic Typesetting"/>
          <w:sz w:val="28"/>
          <w:szCs w:val="28"/>
        </w:rPr>
        <w:t xml:space="preserve"> This can easily show us the importance of learning this way to communicate. </w:t>
      </w:r>
      <w:r w:rsidRPr="000F0DC1">
        <w:rPr>
          <w:rFonts w:ascii="Arabic Typesetting" w:hAnsi="Arabic Typesetting" w:cs="Arabic Typesetting"/>
          <w:sz w:val="28"/>
          <w:szCs w:val="28"/>
        </w:rPr>
        <w:t>So, how can you navigate this sea of acronyms? Here are some practical tips:</w:t>
      </w:r>
    </w:p>
    <w:p w14:paraId="03EE8DB0" w14:textId="7254D80C" w:rsidR="000F0DC1" w:rsidRPr="000F0DC1" w:rsidRDefault="000F0DC1" w:rsidP="000F0DC1">
      <w:pPr>
        <w:pStyle w:val="ListParagraph"/>
        <w:numPr>
          <w:ilvl w:val="0"/>
          <w:numId w:val="5"/>
        </w:num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 xml:space="preserve">Start </w:t>
      </w:r>
      <w:r w:rsidR="00E23174">
        <w:rPr>
          <w:rFonts w:ascii="Arabic Typesetting" w:hAnsi="Arabic Typesetting" w:cs="Arabic Typesetting"/>
          <w:sz w:val="28"/>
          <w:szCs w:val="28"/>
        </w:rPr>
        <w:t>from the ground</w:t>
      </w:r>
      <w:r w:rsidRPr="000F0DC1">
        <w:rPr>
          <w:rFonts w:ascii="Arabic Typesetting" w:hAnsi="Arabic Typesetting" w:cs="Arabic Typesetting"/>
          <w:sz w:val="28"/>
          <w:szCs w:val="28"/>
        </w:rPr>
        <w:t>: Familiarize yourself with the core ESG factors and the most common acronyms associated with them. Resources like the Global Sustainable Investment Alliance's (GSIA) website</w:t>
      </w:r>
      <w:r w:rsidR="00E23174">
        <w:rPr>
          <w:rFonts w:ascii="Arabic Typesetting" w:hAnsi="Arabic Typesetting" w:cs="Arabic Typesetting"/>
          <w:sz w:val="28"/>
          <w:szCs w:val="28"/>
        </w:rPr>
        <w:t xml:space="preserve"> of SDG official website</w:t>
      </w:r>
      <w:r w:rsidRPr="000F0DC1">
        <w:rPr>
          <w:rFonts w:ascii="Arabic Typesetting" w:hAnsi="Arabic Typesetting" w:cs="Arabic Typesetting"/>
          <w:sz w:val="28"/>
          <w:szCs w:val="28"/>
        </w:rPr>
        <w:t xml:space="preserve"> offer valuable glossaries.</w:t>
      </w:r>
    </w:p>
    <w:p w14:paraId="71BE5B06" w14:textId="7EDCC668" w:rsidR="000F0DC1" w:rsidRPr="000F0DC1" w:rsidRDefault="00E23174" w:rsidP="000F0DC1">
      <w:pPr>
        <w:pStyle w:val="ListParagraph"/>
        <w:numPr>
          <w:ilvl w:val="0"/>
          <w:numId w:val="5"/>
        </w:numPr>
        <w:spacing w:line="360" w:lineRule="auto"/>
        <w:rPr>
          <w:rFonts w:ascii="Arabic Typesetting" w:hAnsi="Arabic Typesetting" w:cs="Arabic Typesetting"/>
          <w:sz w:val="28"/>
          <w:szCs w:val="28"/>
        </w:rPr>
      </w:pPr>
      <w:r>
        <w:rPr>
          <w:rFonts w:ascii="Arabic Typesetting" w:hAnsi="Arabic Typesetting" w:cs="Arabic Typesetting"/>
          <w:sz w:val="28"/>
          <w:szCs w:val="28"/>
        </w:rPr>
        <w:t>Understand the wider scenario:</w:t>
      </w:r>
      <w:r w:rsidR="000F0DC1" w:rsidRPr="000F0DC1">
        <w:rPr>
          <w:rFonts w:ascii="Arabic Typesetting" w:hAnsi="Arabic Typesetting" w:cs="Arabic Typesetting"/>
          <w:sz w:val="28"/>
          <w:szCs w:val="28"/>
        </w:rPr>
        <w:t xml:space="preserve"> </w:t>
      </w:r>
      <w:r>
        <w:rPr>
          <w:rFonts w:ascii="Arabic Typesetting" w:hAnsi="Arabic Typesetting" w:cs="Arabic Typesetting"/>
          <w:sz w:val="28"/>
          <w:szCs w:val="28"/>
        </w:rPr>
        <w:t>d</w:t>
      </w:r>
      <w:r w:rsidR="000F0DC1" w:rsidRPr="000F0DC1">
        <w:rPr>
          <w:rFonts w:ascii="Arabic Typesetting" w:hAnsi="Arabic Typesetting" w:cs="Arabic Typesetting"/>
          <w:sz w:val="28"/>
          <w:szCs w:val="28"/>
        </w:rPr>
        <w:t>on't assume you know an acronym's meaning based on the letters alone. The context in which the acronym is used will often provide clues to its definition.</w:t>
      </w:r>
    </w:p>
    <w:p w14:paraId="2EB6D6F6" w14:textId="39F9F8A0" w:rsidR="000F0DC1" w:rsidRPr="000F0DC1" w:rsidRDefault="00E23174" w:rsidP="000F0DC1">
      <w:pPr>
        <w:pStyle w:val="ListParagraph"/>
        <w:numPr>
          <w:ilvl w:val="0"/>
          <w:numId w:val="5"/>
        </w:numPr>
        <w:spacing w:line="360" w:lineRule="auto"/>
        <w:rPr>
          <w:rFonts w:ascii="Arabic Typesetting" w:hAnsi="Arabic Typesetting" w:cs="Arabic Typesetting"/>
          <w:sz w:val="28"/>
          <w:szCs w:val="28"/>
        </w:rPr>
      </w:pPr>
      <w:r>
        <w:rPr>
          <w:rFonts w:ascii="Arabic Typesetting" w:hAnsi="Arabic Typesetting" w:cs="Arabic Typesetting"/>
          <w:sz w:val="28"/>
          <w:szCs w:val="28"/>
        </w:rPr>
        <w:t>Don’t be too shy to ask for explanations</w:t>
      </w:r>
      <w:r w:rsidR="000F0DC1" w:rsidRPr="000F0DC1">
        <w:rPr>
          <w:rFonts w:ascii="Arabic Typesetting" w:hAnsi="Arabic Typesetting" w:cs="Arabic Typesetting"/>
          <w:sz w:val="28"/>
          <w:szCs w:val="28"/>
        </w:rPr>
        <w:t xml:space="preserve">: Don't be afraid to ask questions. Investment professionals, research reports, and industry publications should all be able to provide definitions for unfamiliar </w:t>
      </w:r>
      <w:r>
        <w:rPr>
          <w:rFonts w:ascii="Arabic Typesetting" w:hAnsi="Arabic Typesetting" w:cs="Arabic Typesetting"/>
          <w:sz w:val="28"/>
          <w:szCs w:val="28"/>
        </w:rPr>
        <w:t>awkward words</w:t>
      </w:r>
      <w:r w:rsidR="000F0DC1" w:rsidRPr="000F0DC1">
        <w:rPr>
          <w:rFonts w:ascii="Arabic Typesetting" w:hAnsi="Arabic Typesetting" w:cs="Arabic Typesetting"/>
          <w:sz w:val="28"/>
          <w:szCs w:val="28"/>
        </w:rPr>
        <w:t>.</w:t>
      </w:r>
    </w:p>
    <w:p w14:paraId="376176DB" w14:textId="05DC2DBE" w:rsidR="000F0DC1" w:rsidRPr="000F0DC1" w:rsidRDefault="000F0DC1" w:rsidP="000F0DC1">
      <w:pPr>
        <w:pStyle w:val="ListParagraph"/>
        <w:numPr>
          <w:ilvl w:val="0"/>
          <w:numId w:val="5"/>
        </w:num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 xml:space="preserve">Stay </w:t>
      </w:r>
      <w:r w:rsidR="00E23174">
        <w:rPr>
          <w:rFonts w:ascii="Arabic Typesetting" w:hAnsi="Arabic Typesetting" w:cs="Arabic Typesetting"/>
          <w:sz w:val="28"/>
          <w:szCs w:val="28"/>
        </w:rPr>
        <w:t>focused and ready to learn</w:t>
      </w:r>
      <w:r w:rsidRPr="000F0DC1">
        <w:rPr>
          <w:rFonts w:ascii="Arabic Typesetting" w:hAnsi="Arabic Typesetting" w:cs="Arabic Typesetting"/>
          <w:sz w:val="28"/>
          <w:szCs w:val="28"/>
        </w:rPr>
        <w:t xml:space="preserve">: </w:t>
      </w:r>
      <w:r w:rsidR="00E23174">
        <w:rPr>
          <w:rFonts w:ascii="Arabic Typesetting" w:hAnsi="Arabic Typesetting" w:cs="Arabic Typesetting"/>
          <w:sz w:val="28"/>
          <w:szCs w:val="28"/>
        </w:rPr>
        <w:t>t</w:t>
      </w:r>
      <w:r w:rsidRPr="000F0DC1">
        <w:rPr>
          <w:rFonts w:ascii="Arabic Typesetting" w:hAnsi="Arabic Typesetting" w:cs="Arabic Typesetting"/>
          <w:sz w:val="28"/>
          <w:szCs w:val="28"/>
        </w:rPr>
        <w:t xml:space="preserve">he ESG landscape is constantly evolving, with new acronyms emerging all the time. Regularly </w:t>
      </w:r>
      <w:r w:rsidR="00E23174">
        <w:rPr>
          <w:rFonts w:ascii="Arabic Typesetting" w:hAnsi="Arabic Typesetting" w:cs="Arabic Typesetting"/>
          <w:sz w:val="28"/>
          <w:szCs w:val="28"/>
        </w:rPr>
        <w:t>remember to refresh your basis knowledge about the previous three points.</w:t>
      </w:r>
    </w:p>
    <w:p w14:paraId="77AE1105" w14:textId="18406976" w:rsidR="006E255F" w:rsidRPr="006E255F" w:rsidRDefault="000F0DC1" w:rsidP="000F0DC1">
      <w:pPr>
        <w:spacing w:line="360" w:lineRule="auto"/>
        <w:rPr>
          <w:rFonts w:ascii="Arabic Typesetting" w:hAnsi="Arabic Typesetting" w:cs="Arabic Typesetting"/>
          <w:sz w:val="28"/>
          <w:szCs w:val="28"/>
        </w:rPr>
      </w:pPr>
      <w:r w:rsidRPr="000F0DC1">
        <w:rPr>
          <w:rFonts w:ascii="Arabic Typesetting" w:hAnsi="Arabic Typesetting" w:cs="Arabic Typesetting"/>
          <w:sz w:val="28"/>
          <w:szCs w:val="28"/>
        </w:rPr>
        <w:t xml:space="preserve">By mastering the language of ESG acronyms, you can unlock a deeper understanding of this complex yet critical </w:t>
      </w:r>
      <w:r w:rsidR="00E23174">
        <w:rPr>
          <w:rFonts w:ascii="Arabic Typesetting" w:hAnsi="Arabic Typesetting" w:cs="Arabic Typesetting"/>
          <w:sz w:val="28"/>
          <w:szCs w:val="28"/>
        </w:rPr>
        <w:t>environment</w:t>
      </w:r>
      <w:r w:rsidRPr="000F0DC1">
        <w:rPr>
          <w:rFonts w:ascii="Arabic Typesetting" w:hAnsi="Arabic Typesetting" w:cs="Arabic Typesetting"/>
          <w:sz w:val="28"/>
          <w:szCs w:val="28"/>
        </w:rPr>
        <w:t>. Remember, informed decisions are key to navigating the ever-changing world of ESG investing. There is no “Open Sesame”</w:t>
      </w:r>
      <w:r w:rsidR="00E23174">
        <w:rPr>
          <w:rFonts w:ascii="Arabic Typesetting" w:hAnsi="Arabic Typesetting" w:cs="Arabic Typesetting"/>
          <w:sz w:val="28"/>
          <w:szCs w:val="28"/>
        </w:rPr>
        <w:t xml:space="preserve"> this time,</w:t>
      </w:r>
      <w:r w:rsidRPr="000F0DC1">
        <w:rPr>
          <w:rFonts w:ascii="Arabic Typesetting" w:hAnsi="Arabic Typesetting" w:cs="Arabic Typesetting"/>
          <w:sz w:val="28"/>
          <w:szCs w:val="28"/>
        </w:rPr>
        <w:t xml:space="preserve"> but consistency in study and curiosity in mastering the knowledge, but this will be worth more than a bag of gold!</w:t>
      </w:r>
    </w:p>
    <w:sectPr w:rsidR="006E255F" w:rsidRPr="006E255F" w:rsidSect="002F70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1C0"/>
    <w:multiLevelType w:val="hybridMultilevel"/>
    <w:tmpl w:val="829A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1712B"/>
    <w:multiLevelType w:val="hybridMultilevel"/>
    <w:tmpl w:val="757E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D1C3B"/>
    <w:multiLevelType w:val="multilevel"/>
    <w:tmpl w:val="8842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43F03"/>
    <w:multiLevelType w:val="hybridMultilevel"/>
    <w:tmpl w:val="C62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A0E1A"/>
    <w:multiLevelType w:val="hybridMultilevel"/>
    <w:tmpl w:val="429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960518">
    <w:abstractNumId w:val="2"/>
  </w:num>
  <w:num w:numId="2" w16cid:durableId="1506360348">
    <w:abstractNumId w:val="3"/>
  </w:num>
  <w:num w:numId="3" w16cid:durableId="2051148036">
    <w:abstractNumId w:val="0"/>
  </w:num>
  <w:num w:numId="4" w16cid:durableId="1803379327">
    <w:abstractNumId w:val="4"/>
  </w:num>
  <w:num w:numId="5" w16cid:durableId="1974288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30"/>
    <w:rsid w:val="000F0DC1"/>
    <w:rsid w:val="000F3830"/>
    <w:rsid w:val="002E0C29"/>
    <w:rsid w:val="002F7045"/>
    <w:rsid w:val="003868BF"/>
    <w:rsid w:val="00493453"/>
    <w:rsid w:val="004E57C5"/>
    <w:rsid w:val="00576685"/>
    <w:rsid w:val="006E255F"/>
    <w:rsid w:val="00714598"/>
    <w:rsid w:val="00A82C17"/>
    <w:rsid w:val="00B93364"/>
    <w:rsid w:val="00C14D40"/>
    <w:rsid w:val="00C7408A"/>
    <w:rsid w:val="00C9370C"/>
    <w:rsid w:val="00E23174"/>
    <w:rsid w:val="00E257B2"/>
    <w:rsid w:val="00F137BA"/>
    <w:rsid w:val="00F178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943C"/>
  <w15:chartTrackingRefBased/>
  <w15:docId w15:val="{EA4638D5-2376-412A-B832-2E1DB445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830"/>
    <w:rPr>
      <w:rFonts w:eastAsiaTheme="majorEastAsia" w:cstheme="majorBidi"/>
      <w:color w:val="272727" w:themeColor="text1" w:themeTint="D8"/>
    </w:rPr>
  </w:style>
  <w:style w:type="paragraph" w:styleId="Title">
    <w:name w:val="Title"/>
    <w:basedOn w:val="Normal"/>
    <w:next w:val="Normal"/>
    <w:link w:val="TitleChar"/>
    <w:uiPriority w:val="10"/>
    <w:qFormat/>
    <w:rsid w:val="000F3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830"/>
    <w:pPr>
      <w:spacing w:before="160"/>
      <w:jc w:val="center"/>
    </w:pPr>
    <w:rPr>
      <w:i/>
      <w:iCs/>
      <w:color w:val="404040" w:themeColor="text1" w:themeTint="BF"/>
    </w:rPr>
  </w:style>
  <w:style w:type="character" w:customStyle="1" w:styleId="QuoteChar">
    <w:name w:val="Quote Char"/>
    <w:basedOn w:val="DefaultParagraphFont"/>
    <w:link w:val="Quote"/>
    <w:uiPriority w:val="29"/>
    <w:rsid w:val="000F3830"/>
    <w:rPr>
      <w:i/>
      <w:iCs/>
      <w:color w:val="404040" w:themeColor="text1" w:themeTint="BF"/>
    </w:rPr>
  </w:style>
  <w:style w:type="paragraph" w:styleId="ListParagraph">
    <w:name w:val="List Paragraph"/>
    <w:basedOn w:val="Normal"/>
    <w:uiPriority w:val="34"/>
    <w:qFormat/>
    <w:rsid w:val="000F3830"/>
    <w:pPr>
      <w:ind w:left="720"/>
      <w:contextualSpacing/>
    </w:pPr>
  </w:style>
  <w:style w:type="character" w:styleId="IntenseEmphasis">
    <w:name w:val="Intense Emphasis"/>
    <w:basedOn w:val="DefaultParagraphFont"/>
    <w:uiPriority w:val="21"/>
    <w:qFormat/>
    <w:rsid w:val="000F3830"/>
    <w:rPr>
      <w:i/>
      <w:iCs/>
      <w:color w:val="0F4761" w:themeColor="accent1" w:themeShade="BF"/>
    </w:rPr>
  </w:style>
  <w:style w:type="paragraph" w:styleId="IntenseQuote">
    <w:name w:val="Intense Quote"/>
    <w:basedOn w:val="Normal"/>
    <w:next w:val="Normal"/>
    <w:link w:val="IntenseQuoteChar"/>
    <w:uiPriority w:val="30"/>
    <w:qFormat/>
    <w:rsid w:val="000F3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830"/>
    <w:rPr>
      <w:i/>
      <w:iCs/>
      <w:color w:val="0F4761" w:themeColor="accent1" w:themeShade="BF"/>
    </w:rPr>
  </w:style>
  <w:style w:type="character" w:styleId="IntenseReference">
    <w:name w:val="Intense Reference"/>
    <w:basedOn w:val="DefaultParagraphFont"/>
    <w:uiPriority w:val="32"/>
    <w:qFormat/>
    <w:rsid w:val="000F3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50170">
      <w:bodyDiv w:val="1"/>
      <w:marLeft w:val="0"/>
      <w:marRight w:val="0"/>
      <w:marTop w:val="0"/>
      <w:marBottom w:val="0"/>
      <w:divBdr>
        <w:top w:val="none" w:sz="0" w:space="0" w:color="auto"/>
        <w:left w:val="none" w:sz="0" w:space="0" w:color="auto"/>
        <w:bottom w:val="none" w:sz="0" w:space="0" w:color="auto"/>
        <w:right w:val="none" w:sz="0" w:space="0" w:color="auto"/>
      </w:divBdr>
    </w:div>
    <w:div w:id="1991790317">
      <w:bodyDiv w:val="1"/>
      <w:marLeft w:val="0"/>
      <w:marRight w:val="0"/>
      <w:marTop w:val="0"/>
      <w:marBottom w:val="0"/>
      <w:divBdr>
        <w:top w:val="none" w:sz="0" w:space="0" w:color="auto"/>
        <w:left w:val="none" w:sz="0" w:space="0" w:color="auto"/>
        <w:bottom w:val="none" w:sz="0" w:space="0" w:color="auto"/>
        <w:right w:val="none" w:sz="0" w:space="0" w:color="auto"/>
      </w:divBdr>
    </w:div>
    <w:div w:id="2107536123">
      <w:bodyDiv w:val="1"/>
      <w:marLeft w:val="0"/>
      <w:marRight w:val="0"/>
      <w:marTop w:val="0"/>
      <w:marBottom w:val="0"/>
      <w:divBdr>
        <w:top w:val="none" w:sz="0" w:space="0" w:color="auto"/>
        <w:left w:val="none" w:sz="0" w:space="0" w:color="auto"/>
        <w:bottom w:val="none" w:sz="0" w:space="0" w:color="auto"/>
        <w:right w:val="none" w:sz="0" w:space="0" w:color="auto"/>
      </w:divBdr>
    </w:div>
    <w:div w:id="21093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colombo</dc:creator>
  <cp:keywords/>
  <dc:description/>
  <cp:lastModifiedBy>davide colombo</cp:lastModifiedBy>
  <cp:revision>11</cp:revision>
  <cp:lastPrinted>2024-07-03T13:35:00Z</cp:lastPrinted>
  <dcterms:created xsi:type="dcterms:W3CDTF">2024-07-02T13:08:00Z</dcterms:created>
  <dcterms:modified xsi:type="dcterms:W3CDTF">2024-07-03T13:45:00Z</dcterms:modified>
</cp:coreProperties>
</file>